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Przestępstwa: rok 2023 nie wszędzie bezpieczniejszy dla mienia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temu eksperci największej w Polsce multiagencji ubezpieczeniowej Unilink S.A. opublikowali cieszący się sporym zainteresowaniem raport „Nawigator Ubezpieczeniowy - Mapa przestępczości w Polsce”.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opracowanie bazowało na danych Głównego Urzędu Statystycznego z 2022 roku. Obecnie dostępne są już nowsze informacje z GUS. Warto się im przyjrzeć i jednocześnie sprawdzić, jak wyglądała przestępczość przeciwko mieniu w minionym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skali całego kraju było nieco bezpieczniej niż w 2022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Unilink S.A.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Nawigator Ubezpieczeniowy - Mapa przestępczości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z 2023 roku zwracał uwagę czytelników na wzrost liczby przestępstw przeciwko mieniu, odnotowany w 2022 roku. Miniony rok przyniósł spadek liczby takich przestępstw stwierdzonych przez Policję (z 429 908 do 409 114). W czerwcu 2024 r. eksperci firmy sprawdzili jak w nieco dłuższej perspektywie czasowej zmieniała się ogólnopolska liczba przestępstw przeciwko mieniu, czyli głównie oszustw, kradzieży i kradzieży z włamaniem. Odpowiednie dane GUS na ten temat wyglądają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2018 r. - 348 914 przestępstw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2019 r. - 378 041 przestępstw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2020 r. - 370 042 przestępstwa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2021 r. - 418 041 przestępstw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2022 r. - 429 908 przestępstw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2023 r. - 409 114 przestępstw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Nietrudno zauważyć, że ubiegłoroczny wynik mimo widocznej poprawy wciąż był stosunkowo wysoki. Jako punkt odniesienia można przyjąć chociażby 2018 r.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Wyniki niższe od ubiegłorocznego notowano również w latach 2016 - 2017</w:t>
      </w:r>
      <w:r>
        <w:rPr>
          <w:rFonts w:ascii="calibri" w:hAnsi="calibri" w:eastAsia="calibri" w:cs="calibri"/>
          <w:sz w:val="24"/>
          <w:szCs w:val="24"/>
        </w:rPr>
        <w:t xml:space="preserve">” - dodaje </w:t>
      </w:r>
      <w:r>
        <w:rPr>
          <w:rFonts w:ascii="calibri" w:hAnsi="calibri" w:eastAsia="calibri" w:cs="calibri"/>
          <w:sz w:val="24"/>
          <w:szCs w:val="24"/>
          <w:b/>
        </w:rPr>
        <w:t xml:space="preserve">Andrzej Prajsnar</w:t>
      </w:r>
      <w:r>
        <w:rPr>
          <w:rFonts w:ascii="calibri" w:hAnsi="calibri" w:eastAsia="calibri" w:cs="calibri"/>
          <w:sz w:val="24"/>
          <w:szCs w:val="24"/>
        </w:rPr>
        <w:t xml:space="preserve">, ekspert multiagencji ubezpieczeniowej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wzrosty przestępczości mogą niepokoić?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Ogólnopolski spadek liczby przestępstw przeciwko mieniu oczywiście nie oznacza, że poprawa była widoczna w każdym powiecie oraz mieście na prawach powiatu. Bardzo duże, przekraczające aż 200% rocznie, wzrosty liczby przestępstw przeciwko mieniu stwierdzono w następujących częściach kraju: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radzyński - 2 247 przestępstw przeciwko mieniu w 2023 r., wzrost o 625% względem 2022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Jaworzno - 4 316 przestępstw / wzrost o 337%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gołdapski - 422 przestępstwa / wzrost o 318%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sokólski - 990 przestępstw / wzrost o 244%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mrągowski - 978 przestępstw / wzrost o 224%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tarnobrzeski - 827 przestępstw / wzrost o 211%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wyniki mogą oczywiście mocno niepokoić, ale warto zwrócić uwagę, że w każdej z powyższych lokalizacji zmiany miały nagły charakter i były poprzedzone dużo niższymi wynikami z poprzednich lat.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można zatem wykluczać, że sytuacja wróci do normy, tak jak na przykład w powiecie bielskim z województwa śląskiego, gdzie po rekordzie z 2022 r. (3362 przestępstwa przeciwko mieniu), rok później Policja odnotowała wynik (1075 przestępstw) nieco mniejszy niż ten z 2021 r.</w:t>
      </w:r>
      <w:r>
        <w:rPr>
          <w:rFonts w:ascii="calibri" w:hAnsi="calibri" w:eastAsia="calibri" w:cs="calibri"/>
          <w:sz w:val="24"/>
          <w:szCs w:val="24"/>
        </w:rPr>
        <w:t xml:space="preserve">” - uważa Andrzej Prajsnar, ekspert multiagencji ubezpieczeniowej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powyższym, bardziej niepokojąca może wydawać się sytuacja tych miast i powiatów, gdzie liczba przestępstw rośnie stale już od dłuższego czasu. Za przykład niech posłuży powiat sochaczewski, gdzie w 2018 r. miały miejsce 483 przestępstwa przeciwko mieniu. Miniony rok przyniósł natomiast rekord w postaci 1382 przestępstw.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Więcej osób może zainteresować sytuacja z Warszawy, gdzie liczba przestępstw przeciwko mieniu wzrosła o symboliczne 0,3% względem 2022 r. Równocześnie w Warszawie odnotowano najgorszy wynik od 2013 roku. Oczywiście, trzeba brać pod uwagę wzrost liczby mieszkańców stolicy, częściowo nieuwzględniony w danych GUS</w:t>
      </w:r>
      <w:r>
        <w:rPr>
          <w:rFonts w:ascii="calibri" w:hAnsi="calibri" w:eastAsia="calibri" w:cs="calibri"/>
          <w:sz w:val="24"/>
          <w:szCs w:val="24"/>
        </w:rPr>
        <w:t xml:space="preserve">” – podkreśla Andrzej Prajsnar, ekspert multiagencji ubezpieczeniowej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niebezpiecznie tam, gdzie zawsze?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Ciekawych informacji na temat przestępczości przeciwko mieniu dostarcza również poniższa mapa (Rys. 1.). Widzimy na niej stwierdzone przez Policję przestępstwa przeciwko mieniu w przeliczeniu na 1000 mieszkańców. Taka relacja liczby przestępstw przeciwko mieniu oraz liczby mieszkańców w 2023 roku była największa na terenie następujących miast i powiatów: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Sosnowiec - 52,91 przestępstw przeciwko mieniu na 1000 mieszkańców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Jaworzno - 49,51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radzyński - 40,68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powiat słubicki - 37,41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Sopot - 28,77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Legnica - 25,67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Katowice - 25,32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Wałbrzych - 24,02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Jelenia Góra - 23,17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Wrocław - 22,27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Powyższa lista raczej nie zaskoczy mocno osób, które czytały ubiegłoroczny raport ekspertów Unilink na temat przestępczości. Są jednak pewne niespodzianki. W niechlubnej czołówce pojawiło się bowiem Jaworzno. Niespodziewany awans do grupy powiatów i miast z wysoką przestępczością przeciwko mieniu zaliczył bezpieczny wcześniej powiat radzyński w województwie lubelskim.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Jednakże, tak jak już wspominaliśmy, nagłe wzrosty przestępczości bywają krótkimi odchyleniami od normy</w:t>
      </w:r>
      <w:r>
        <w:rPr>
          <w:rFonts w:ascii="calibri" w:hAnsi="calibri" w:eastAsia="calibri" w:cs="calibri"/>
          <w:sz w:val="24"/>
          <w:szCs w:val="24"/>
        </w:rPr>
        <w:t xml:space="preserve">” - dodaje Andrzej Prajsnar, ekspert multiagencji ubezpieczeniowej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Obawy o mienie widoczne również u agentów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Ciekawe obserwacje dotyczące ubiegłorocznego poziomu przestępczości mogą mieć również eksperci Unilink oraz liczni agenci współpracujący z tą największą w kraju multiagencją ubezpieczeniową. Agenci Unilink zwracają uwagę na utrzymujące się, wyraźnie wyższe niż np. 5 - 6 lat temu, zainteresowanie takimi polisami jak ubezpieczenia nieruchomości oraz autocasco. </w:t>
      </w:r>
    </w:p>
    <w:p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 osób wybiera bardziej kompleksową ochronę, dostrzegając widoczny już od kilku lat wzrost przestępczości w swojej okolicy albo stabilizację liczby przestępstw przeciwko mieniu na wysokim poziomie</w:t>
      </w:r>
      <w:r>
        <w:rPr>
          <w:rFonts w:ascii="calibri" w:hAnsi="calibri" w:eastAsia="calibri" w:cs="calibri"/>
          <w:sz w:val="24"/>
          <w:szCs w:val="24"/>
        </w:rPr>
        <w:t xml:space="preserve">” - podsumowuje </w:t>
      </w:r>
      <w:r>
        <w:rPr>
          <w:rFonts w:ascii="calibri" w:hAnsi="calibri" w:eastAsia="calibri" w:cs="calibri"/>
          <w:sz w:val="24"/>
          <w:szCs w:val="24"/>
          <w:b/>
        </w:rPr>
        <w:t xml:space="preserve">Jakub Choromański</w:t>
      </w:r>
      <w:r>
        <w:rPr>
          <w:rFonts w:ascii="calibri" w:hAnsi="calibri" w:eastAsia="calibri" w:cs="calibri"/>
          <w:sz w:val="24"/>
          <w:szCs w:val="24"/>
        </w:rPr>
        <w:t xml:space="preserve">, ekspert multiagencji ubezpieczeniowej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Stwierdzone przez Policję przestępstwa przeciwko mieniu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w przeliczeniu na 1000 mieszkańców</w:t>
      </w:r>
      <w:r>
        <w:rPr>
          <w:rFonts w:ascii="calibri" w:hAnsi="calibri" w:eastAsia="calibri" w:cs="calibri"/>
          <w:sz w:val="24"/>
          <w:szCs w:val="24"/>
          <w:b/>
        </w:rPr>
        <w:t xml:space="preserve"> (2023 r.)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4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Rys. 1. Źródło: Unilink na bazie danych GUS.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link.pl/aktualnosci/raport-nawigator-ubezpieczeniowy-mapa-przestepczosci-w-polsc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2026-08-12T10:42:54+02:00</dcterms:created>
  <dcterms:modified xsi:type="dcterms:W3CDTF">2026-08-12T10:42:54+02:00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