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Polacy nadal umierają na nowotwory dużo częściej niż Polki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październiku br. eksperci największej polskiej multiagencji ubezpieczeniowej Unilink prezentowali ważne informacje dotyczące zapadalności i umieralności polskich kobiet na nowotwory. Są to dane ważne i jednocześnie smutne, bo okazało się, że w Unii Europejskiej tylko mieszkanki Węgier częściej od Polek umierają na nowotwory. A jak na tym tle wypadają polscy mężczyźni?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Prezentacja wspomnianych informacji była związana z październikiem jako miesiącem szeroko pojętej profilaktyki nowotworowej u pań. Teraz warto zwrócić uwagę na kwestie dotyczące mężczyzn, ponieważ listopad upływa pod znakiem edukacji i profilaktyki w zakresie męskich nowotworów. Warto zatem przyjrzeć się informacjom statystycznym, które podobnie jak w przypadku kobiet są generalnie mało optymistyczne. Eksperci Unilink zwracają jednak uwagę na nieliczne, bardziej pozytywne akcenty.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Widać czerwony pas nowotworowy od Estonii do Bałkanów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Jeżeli zajrzymy do danych Global Cancer Observatory dotyczących umieralności na nowotwory (tym razem mężczyzn), to zły wynik Polski nie zaskakuje. Tym razem nie mamy jednak do czynienia z przedostatnim wskaźnikiem w Europie. Pod względem wskaźnika umieralności nowotworowej mężczyzn skorygowanego o różnice wieku populacji, Polska lokuje się bowiem na siódmym miejscu od końca.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Według najnowszych dostępnych danych z 2022 roku, gorzej od Polski wypadły następujące kraje: Białoruś, Węgry, Litwa, Łotwa, Rumunia i Mołdawia</w:t>
      </w:r>
      <w:r>
        <w:rPr>
          <w:rFonts w:ascii="calibri" w:hAnsi="calibri" w:eastAsia="calibri" w:cs="calibri"/>
          <w:sz w:val="24"/>
          <w:szCs w:val="24"/>
        </w:rPr>
        <w:t xml:space="preserve">” – </w:t>
      </w:r>
      <w:r>
        <w:rPr>
          <w:rFonts w:ascii="calibri" w:hAnsi="calibri" w:eastAsia="calibri" w:cs="calibri"/>
          <w:sz w:val="24"/>
          <w:szCs w:val="24"/>
        </w:rPr>
        <w:t xml:space="preserve">wymienia </w:t>
      </w:r>
      <w:r>
        <w:rPr>
          <w:rFonts w:ascii="calibri" w:hAnsi="calibri" w:eastAsia="calibri" w:cs="calibri"/>
          <w:sz w:val="24"/>
          <w:szCs w:val="24"/>
          <w:b/>
        </w:rPr>
        <w:t xml:space="preserve">Leszek Osiewacz</w:t>
      </w:r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</w:rPr>
        <w:t xml:space="preserve">Dyrektor Zarządzający Sprzedażą Produktów Zdrowotnych i Życiowych w </w:t>
      </w:r>
      <w:r>
        <w:rPr>
          <w:rFonts w:ascii="calibri" w:hAnsi="calibri" w:eastAsia="calibri" w:cs="calibri"/>
          <w:sz w:val="24"/>
          <w:szCs w:val="24"/>
        </w:rPr>
        <w:t xml:space="preserve">Unilink.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Analizując poniższą mapę (Rys. 1) można stwierdzić, że widzimy pas podwyższonej nowotworowej umieralności ciągnący się od Estonii, poprzez Polskę i Słowację oraz Węgry, aż do krajów bałkańskich.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Zapewne nie bez znaczenia są tutaj takie wspólne dla wspomnianych państw czynniki jak np. niższy niż na zachodzie Europy poziom diagnostyki i opieki medycznej, gorsze standardy BHP w przemyśle i rolnictwie oraz mniejsza dbałość o ochronę środowiska w czasach realnego socjalizmu, a nawet później</w:t>
      </w:r>
      <w:r>
        <w:rPr>
          <w:rFonts w:ascii="calibri" w:hAnsi="calibri" w:eastAsia="calibri" w:cs="calibri"/>
          <w:sz w:val="24"/>
          <w:szCs w:val="24"/>
        </w:rPr>
        <w:t xml:space="preserve">” – mówi </w:t>
      </w:r>
      <w:r>
        <w:rPr>
          <w:rFonts w:ascii="calibri" w:hAnsi="calibri" w:eastAsia="calibri" w:cs="calibri"/>
          <w:sz w:val="24"/>
          <w:szCs w:val="24"/>
          <w:b/>
        </w:rPr>
        <w:t xml:space="preserve">Andrzej Prajsnar</w:t>
      </w:r>
      <w:r>
        <w:rPr>
          <w:rFonts w:ascii="calibri" w:hAnsi="calibri" w:eastAsia="calibri" w:cs="calibri"/>
          <w:sz w:val="24"/>
          <w:szCs w:val="24"/>
        </w:rPr>
        <w:t xml:space="preserve">, ekspert Unilink. </w:t>
      </w:r>
    </w:p>
    <w:p/>
    <w:p/>
    <w:p>
      <w:pPr>
        <w:spacing w:before="0" w:after="300"/>
      </w:pPr>
    </w:p>
    <w:p>
      <w:pPr>
        <w:jc w:val="center"/>
      </w:pPr>
      <w:r>
        <w:pict>
          <v:shape type="#_x0000_t75" style="width:1649px; height:1054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Rys. 1. Skorygowany wiekowo wskaźnik umieralności mężczyzn na nowotwory w krajach Europy. 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  <w:b/>
        </w:rPr>
        <w:t xml:space="preserve">Na trzy nowotwory Polacy umierają szczególnie często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Musimy jednak zwrócić uwagę, że skorygowana o wiek populacji zapadalność polskich mężczyzn na nowotwory </w:t>
      </w:r>
      <w:r>
        <w:rPr>
          <w:rFonts w:ascii="calibri" w:hAnsi="calibri" w:eastAsia="calibri" w:cs="calibri"/>
          <w:sz w:val="24"/>
          <w:szCs w:val="24"/>
          <w:b/>
        </w:rPr>
        <w:t xml:space="preserve">wcale nie jest bardzo wysoka w skali Europy</w:t>
      </w:r>
      <w:r>
        <w:rPr>
          <w:rFonts w:ascii="calibri" w:hAnsi="calibri" w:eastAsia="calibri" w:cs="calibri"/>
          <w:sz w:val="24"/>
          <w:szCs w:val="24"/>
        </w:rPr>
        <w:t xml:space="preserve">. Mowa nawet o wyniku niższym od mediany z 40 analizowanych krajów Starego Kontynentu. Duże znaczenie ma jednak prawdopodobnie etap na jakim są wykrywane nowotwory u Polaków oraz skuteczność późniejszego leczenia. Według danych Global Cancer Observatory, trzy lata temu polscy mężczyźni najczęściej umierali na nowotwory płuc, jelita grubego i prostaty.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Trzy wymienione nowotwory w 2022 r. generowały prawie połowę ogólnej nowotworowej umieralności mężczyzn” – </w:t>
      </w:r>
      <w:r>
        <w:rPr>
          <w:rFonts w:ascii="calibri" w:hAnsi="calibri" w:eastAsia="calibri" w:cs="calibri"/>
          <w:sz w:val="24"/>
          <w:szCs w:val="24"/>
        </w:rPr>
        <w:t xml:space="preserve">dodaje Leszek Osiewacz, Unilink.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doliczeniu nowotworów pęcherza moczowego i żołądka mamy już wynik na poziomie prawie 60% zgonów nowotworowych mężczyzn. Jeżeli chodzi o zapadalność mężczyzn, to w odniesieniu do nowotworów prostaty, płuca oraz jelita grubego dotyczy niemal 50% stwierdzanych przypadków. Specyfika nowotworów wpływa na śmiertelność u mężczyzn i kobiet. Przypomnijmy, że po porównaniu wskaźnika nowotworowej śmiertelności kobiet i mężczyzn w Polsce, widzimy dużą różnicę na niekorzyść mężczyzn. Jak tłumaczy artykuł zamieszczony na stronie Krajowego Rejestru Nowotworów, ta różnica wynika przede wszystkim ze struktury zachorowań.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Źle rokujący nowotwór płuca jest przyczyną 1/6 zachorowań mężczyzn oraz 1/3 zgonów, natomiast wśród kobiet dominuje dobrze rokujący rak piersi (1/5 zachorowań)</w:t>
      </w:r>
      <w:r>
        <w:rPr>
          <w:rFonts w:ascii="calibri" w:hAnsi="calibri" w:eastAsia="calibri" w:cs="calibri"/>
          <w:sz w:val="24"/>
          <w:szCs w:val="24"/>
        </w:rPr>
        <w:t xml:space="preserve">”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[1]</w:t>
        </w:r>
      </w:hyperlink>
      <w:r>
        <w:rPr>
          <w:rFonts w:ascii="calibri" w:hAnsi="calibri" w:eastAsia="calibri" w:cs="calibri"/>
          <w:sz w:val="24"/>
          <w:szCs w:val="24"/>
        </w:rPr>
        <w:t xml:space="preserve"> – czytamy.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Czy można mówić w ogóle o jakichś pozytywach?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nawiązaniu do powyższych informacji rodzi się pytanie, czy można w ogóle mówić o jakichś pozytywach. Wspomniana już wcześniej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październikowa analiza ekspertów Unilink</w:t>
        </w:r>
      </w:hyperlink>
      <w:r>
        <w:rPr>
          <w:rFonts w:ascii="calibri" w:hAnsi="calibri" w:eastAsia="calibri" w:cs="calibri"/>
          <w:sz w:val="24"/>
          <w:szCs w:val="24"/>
        </w:rPr>
        <w:t xml:space="preserve"> zwraca uwagę, że według danych GUS w stosunku do 1985 r. standaryzowany współczynnik zgonów z powodu chorób nowotworowych mężczyzn spadł o około 20% (wynik z 2023 r.)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[2]</w:t>
        </w:r>
      </w:hyperlink>
      <w:r>
        <w:rPr>
          <w:rFonts w:ascii="calibri" w:hAnsi="calibri" w:eastAsia="calibri" w:cs="calibri"/>
          <w:sz w:val="24"/>
          <w:szCs w:val="24"/>
        </w:rPr>
        <w:t xml:space="preserve">. Można więc mówić o poprawie, choć skumulowane ryzyko zgonu na nowotwór przed ukończeniem 75. roku życia w przypadku Polaków (18,2%) jest nadal dużo wyższe niż wynik dotyczący Polek (11,4%)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[3]</w:t>
        </w:r>
      </w:hyperlink>
      <w:r>
        <w:rPr>
          <w:rFonts w:ascii="calibri" w:hAnsi="calibri" w:eastAsia="calibri" w:cs="calibri"/>
          <w:sz w:val="24"/>
          <w:szCs w:val="24"/>
        </w:rPr>
        <w:t xml:space="preserve">.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Dla porównania, analogiczny wynik ze Szwecji to 8,9% (mężczyźni) oraz 8,3% (kobiety)</w:t>
      </w: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[4]</w:t>
        </w:r>
      </w:hyperlink>
      <w:r>
        <w:rPr>
          <w:rFonts w:ascii="calibri" w:hAnsi="calibri" w:eastAsia="calibri" w:cs="calibri"/>
          <w:sz w:val="24"/>
          <w:szCs w:val="24"/>
          <w:i/>
          <w:iCs/>
        </w:rPr>
        <w:t xml:space="preserve">. Można mieć nadzieję, że w przyszłości uda się zmniejszyć lukę na niekorzyść polskich mężczyzn, oczywiście przy ogólnym spadku ryzyka zgonu nowotworowego</w:t>
      </w:r>
      <w:r>
        <w:rPr>
          <w:rFonts w:ascii="calibri" w:hAnsi="calibri" w:eastAsia="calibri" w:cs="calibri"/>
          <w:sz w:val="24"/>
          <w:szCs w:val="24"/>
        </w:rPr>
        <w:t xml:space="preserve">” – komentuje </w:t>
      </w:r>
      <w:r>
        <w:rPr>
          <w:rFonts w:ascii="calibri" w:hAnsi="calibri" w:eastAsia="calibri" w:cs="calibri"/>
          <w:sz w:val="24"/>
          <w:szCs w:val="24"/>
        </w:rPr>
        <w:t xml:space="preserve">Andrzej Prajsnar, ekspert Unilink.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Znaczenie na pewno może mieć promocja profilaktyki i zachowań prozdrowotnych oraz zasad BHP. O zmianie postaw niektórych panów świadczy zainteresowanie diagnostyką w ramach publicznych programów (m.in. obecnego programu „Moje Zdrowie”), a także zainteresowanie lepszym poziomem usług medycznych dostępnych po zakupie pakietów lub polis zdrowotnych.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Temat regularnej diagnostyki nowotworów oraz ich ewentualnego leczenia prywatnego (również za granicą, w ramach pakietów typu Global Doctors) staje się dość częstym elementem rozmów mężczyzn z agentami ubezpieczeniowymi</w:t>
      </w:r>
      <w:r>
        <w:rPr>
          <w:rFonts w:ascii="calibri" w:hAnsi="calibri" w:eastAsia="calibri" w:cs="calibri"/>
          <w:sz w:val="24"/>
          <w:szCs w:val="24"/>
        </w:rPr>
        <w:t xml:space="preserve">” – podsumowuje </w:t>
      </w:r>
      <w:r>
        <w:rPr>
          <w:rFonts w:ascii="calibri" w:hAnsi="calibri" w:eastAsia="calibri" w:cs="calibri"/>
          <w:sz w:val="24"/>
          <w:szCs w:val="24"/>
        </w:rPr>
        <w:t xml:space="preserve">Leszek Osiewacz, ekspert multiagencji ubezpieczeniowej Unilink. </w:t>
      </w:r>
    </w:p>
    <w:p>
      <w:pPr>
        <w:spacing w:before="0" w:after="300"/>
      </w:pPr>
    </w:p>
    <w:p>
      <w:pPr>
        <w:spacing w:before="0" w:after="300"/>
      </w:pPr>
      <w:hyperlink r:id="rId13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[1]</w:t>
        </w:r>
      </w:hyperlink>
      <w:r>
        <w:rPr>
          <w:rFonts w:ascii="calibri" w:hAnsi="calibri" w:eastAsia="calibri" w:cs="calibri"/>
          <w:sz w:val="24"/>
          <w:szCs w:val="24"/>
        </w:rPr>
        <w:t xml:space="preserve"> Źródło: </w:t>
      </w:r>
      <w:hyperlink r:id="rId14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https://onkologia.org.pl/pl/epidemiologia/nowotwory-zlosliwe-w-polsce</w:t>
        </w:r>
      </w:hyperlink>
    </w:p>
    <w:p>
      <w:pPr>
        <w:spacing w:before="0" w:after="300"/>
      </w:pPr>
      <w:hyperlink r:id="rId15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[2]</w:t>
        </w:r>
      </w:hyperlink>
      <w:r>
        <w:rPr>
          <w:rFonts w:ascii="calibri" w:hAnsi="calibri" w:eastAsia="calibri" w:cs="calibri"/>
          <w:sz w:val="24"/>
          <w:szCs w:val="24"/>
        </w:rPr>
        <w:t xml:space="preserve"> Źródło: </w:t>
      </w:r>
      <w:hyperlink r:id="rId16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https://stat.gov.pl/files/gfx/portalinformacyjny/pl/defaultaktualnosci/5470/2/19/1/trwanie_zycia_w_2024_roku.pdf</w:t>
        </w:r>
      </w:hyperlink>
    </w:p>
    <w:p>
      <w:pPr>
        <w:spacing w:before="0" w:after="300"/>
      </w:pPr>
      <w:hyperlink r:id="rId1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[3]</w:t>
        </w:r>
      </w:hyperlink>
      <w:r>
        <w:rPr>
          <w:rFonts w:ascii="calibri" w:hAnsi="calibri" w:eastAsia="calibri" w:cs="calibri"/>
          <w:sz w:val="24"/>
          <w:szCs w:val="24"/>
        </w:rPr>
        <w:t xml:space="preserve"> Źródło: </w:t>
      </w:r>
      <w:hyperlink r:id="rId1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https://gco.iarc.who.int/media/globocan/factsheets/populations/616-poland-fact-sheet.pdf</w:t>
        </w:r>
      </w:hyperlink>
    </w:p>
    <w:p>
      <w:pPr>
        <w:spacing w:before="0" w:after="300"/>
      </w:pPr>
      <w:hyperlink r:id="rId1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[4]</w:t>
        </w:r>
      </w:hyperlink>
      <w:r>
        <w:rPr>
          <w:rFonts w:ascii="calibri" w:hAnsi="calibri" w:eastAsia="calibri" w:cs="calibri"/>
          <w:sz w:val="24"/>
          <w:szCs w:val="24"/>
        </w:rPr>
        <w:t xml:space="preserve"> Źródło: </w:t>
      </w:r>
      <w:hyperlink r:id="rId2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https://gco.iarc.who.int/media/globocan/factsheets/populations/752-sweden-fact-sheet.pdf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://unilink.biuroprasowe.pl/word/?hash=92f02830f2b0136ebf4af725cffdbaed&amp;id=212138&amp;typ=epr#_ftn1" TargetMode="External"/><Relationship Id="rId9" Type="http://schemas.openxmlformats.org/officeDocument/2006/relationships/hyperlink" Target="https://unilink.biuroprasowe.pl/212056/polki-choruja-na-raka-rzadziej-niz-polacy-i-chca-sie-ubezpieczac" TargetMode="External"/><Relationship Id="rId10" Type="http://schemas.openxmlformats.org/officeDocument/2006/relationships/hyperlink" Target="http://unilink.biuroprasowe.pl/word/?hash=92f02830f2b0136ebf4af725cffdbaed&amp;id=212138&amp;typ=epr#_ftn2" TargetMode="External"/><Relationship Id="rId11" Type="http://schemas.openxmlformats.org/officeDocument/2006/relationships/hyperlink" Target="http://unilink.biuroprasowe.pl/word/?hash=92f02830f2b0136ebf4af725cffdbaed&amp;id=212138&amp;typ=epr#_ftn3" TargetMode="External"/><Relationship Id="rId12" Type="http://schemas.openxmlformats.org/officeDocument/2006/relationships/hyperlink" Target="http://unilink.biuroprasowe.pl/word/?hash=92f02830f2b0136ebf4af725cffdbaed&amp;id=212138&amp;typ=epr#_ftn4" TargetMode="External"/><Relationship Id="rId13" Type="http://schemas.openxmlformats.org/officeDocument/2006/relationships/hyperlink" Target="http://unilink.biuroprasowe.pl/word/?hash=92f02830f2b0136ebf4af725cffdbaed&amp;id=212138&amp;typ=epr#_ftnref1" TargetMode="External"/><Relationship Id="rId14" Type="http://schemas.openxmlformats.org/officeDocument/2006/relationships/hyperlink" Target="https://onkologia.org.pl/pl/epidemiologia/nowotwory-zlosliwe-w-polsce" TargetMode="External"/><Relationship Id="rId15" Type="http://schemas.openxmlformats.org/officeDocument/2006/relationships/hyperlink" Target="http://unilink.biuroprasowe.pl/word/?hash=92f02830f2b0136ebf4af725cffdbaed&amp;id=212138&amp;typ=epr#_ftnref2" TargetMode="External"/><Relationship Id="rId16" Type="http://schemas.openxmlformats.org/officeDocument/2006/relationships/hyperlink" Target="https://stat.gov.pl/files/gfx/portalinformacyjny/pl/defaultaktualnosci/5470/2/19/1/trwanie_zycia_w_2024_roku.pdf" TargetMode="External"/><Relationship Id="rId17" Type="http://schemas.openxmlformats.org/officeDocument/2006/relationships/hyperlink" Target="http://unilink.biuroprasowe.pl/word/?hash=92f02830f2b0136ebf4af725cffdbaed&amp;id=212138&amp;typ=epr#_ftnref3" TargetMode="External"/><Relationship Id="rId18" Type="http://schemas.openxmlformats.org/officeDocument/2006/relationships/hyperlink" Target="https://gco.iarc.who.int/media/globocan/factsheets/populations/616-poland-fact-sheet.pdf" TargetMode="External"/><Relationship Id="rId19" Type="http://schemas.openxmlformats.org/officeDocument/2006/relationships/hyperlink" Target="http://unilink.biuroprasowe.pl/word/?hash=92f02830f2b0136ebf4af725cffdbaed&amp;id=212138&amp;typ=epr#_ftnref4" TargetMode="External"/><Relationship Id="rId20" Type="http://schemas.openxmlformats.org/officeDocument/2006/relationships/hyperlink" Target="https://gco.iarc.who.int/media/globocan/factsheets/populations/752-sweden-fact-sheet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2026-09-27T00:17:59+02:00</dcterms:created>
  <dcterms:modified xsi:type="dcterms:W3CDTF">2026-09-27T00:17:59+02:00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