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po nowemu, czyli ważne zmiany w OC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w kontekście zmian dotyczących OC posiadaczy pojazdów mechanicznych mówi się przede wszystkim o nowych, wyższych stawkach opłat karnych na 2025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nieco wcześniej (w listopadzie 2024 r.) miały miejsce inne zmiany dotyczące obowiązkowych ubezpieczeń komunikacyjnych dla kierowców. Jedna z tych zmian jest trochę niedoceniana, gdyż media bardziej skupiają się np. na listopadowym podniesieniu limitów odpowiedzialności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Ważniejszą kwestią dla wielu posiadaczy pojazdów mechanicznych może być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niedawna zmiana definicji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. Eksperci największej w Polsce multiagencji ubezpieczeniowej Unilink wyjaśniają, dlaczego modyfikacja przepisów jest istotna między innymi dla posiadaczy pojazdów wolnobieżnych.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ustawie o OC nadeszły, choć z dużym opóźnieniem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ścisłości warto przypomnieć, że analizowane zmiany prawne wynikają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13 września 2024 r. o zmianie ustawy o ubezpieczeniach obowiązkowych, Ubezpieczeniowym Funduszu Gwarancyjnym i Polskim Biurze Ubezpieczycieli Komunikacyjnych oraz ustawy o działalności ubezpieczeniowej i reasekuracyjnej </w:t>
      </w:r>
      <w:r>
        <w:rPr>
          <w:rFonts w:ascii="calibri" w:hAnsi="calibri" w:eastAsia="calibri" w:cs="calibri"/>
          <w:sz w:val="24"/>
          <w:szCs w:val="24"/>
        </w:rPr>
        <w:t xml:space="preserve">(Dz.U. 2024 poz. 1565).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 prawny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wszedł w życie 6 listopada 2024 roku, ale niektóre jego przepisy obowiązują wstecznie.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Polska spóźniła się z implementacją do swojego prawa Dyrektywy Parlamentu Europejskiego i Rady (UE) 2021/2118 z dnia 24 listopada 2021 r.</w:t>
      </w:r>
      <w:r>
        <w:rPr>
          <w:rFonts w:ascii="calibri" w:hAnsi="calibri" w:eastAsia="calibri" w:cs="calibri"/>
          <w:sz w:val="24"/>
          <w:szCs w:val="24"/>
        </w:rPr>
        <w:t xml:space="preserve">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pojazdu do ruchu jest niezależne… od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Dyrektywa Parlamentu Europejskiego i Rady (UE) 2021/2118</w:t>
      </w:r>
      <w:r>
        <w:rPr>
          <w:rFonts w:ascii="calibri" w:hAnsi="calibri" w:eastAsia="calibri" w:cs="calibri"/>
          <w:sz w:val="24"/>
          <w:szCs w:val="24"/>
        </w:rPr>
        <w:t xml:space="preserve"> uwzględniająca orzecznictwo Trybunału Sprawiedliwości Unii Europejskiej, wymusiła wprowadzenie do polskich przepisów </w:t>
      </w:r>
      <w:r>
        <w:rPr>
          <w:rFonts w:ascii="calibri" w:hAnsi="calibri" w:eastAsia="calibri" w:cs="calibri"/>
          <w:sz w:val="24"/>
          <w:szCs w:val="24"/>
          <w:b/>
        </w:rPr>
        <w:t xml:space="preserve">definicji ruchu pojazdu</w:t>
      </w:r>
      <w:r>
        <w:rPr>
          <w:rFonts w:ascii="calibri" w:hAnsi="calibri" w:eastAsia="calibri" w:cs="calibri"/>
          <w:sz w:val="24"/>
          <w:szCs w:val="24"/>
        </w:rPr>
        <w:t xml:space="preserve">. Od 6 listopada 2024 r.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ustawie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 znajdziemy następującą definicję: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ruch pojazdu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mechanicznego, które w czasie zdarzenia jest zgodne z funkcją tego pojazdu jako środka transportu, niezależnie od jego cech i terenu, na którym jest używany,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ustawodawca przygotował też </w:t>
      </w:r>
      <w:r>
        <w:rPr>
          <w:rFonts w:ascii="calibri" w:hAnsi="calibri" w:eastAsia="calibri" w:cs="calibri"/>
          <w:sz w:val="24"/>
          <w:szCs w:val="24"/>
          <w:b/>
        </w:rPr>
        <w:t xml:space="preserve">nową definicję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, która brzmi następująco: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wprowadzenie pojazdu do ruchu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 zgodne z funkcją tego pojazdu jako środka transportu,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jego cech i terenu, na którym jest używany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oraz 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zgodnie ze wcześniejszą definicją, wprowadzenie pojazdu do ruchu oznaczało wprowadzenie pojazdu na drogę, rozumianą zgodnie z art. 2 pkt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oraz art. 4 pkt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21 marca 1985 r. o drogach publicznych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Chodziło zatem o drogę rozumianą jako wydzielony pas terenu składający się z jezdni, pobocza, chodnika, drogi dla pieszych lub drogi dla rowerów, łącznie z torowiskiem pojazdów szynowych znajdującym się w obrębie tego pasa i jako pas terenu przeznaczony do ruchu lub postoju pojazdów, ruchu pieszych, ruchu osób poruszających się przy użyciu urządzenia wspomagającego ruch, jazdy wierzchem lub pędzenia zwierząt (zobacz: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Maliszewska [w:] Ustawa o ubezpieczeniach obowiązkowych, Ubezpieczeniowym Funduszu Gwarancyjnym i Polskim Biurze Ubezpieczycieli Komunikacyjnych. Komentarz, red. G. Dybała, K. Szpyt, Warszawa 2022, art. 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„Teraz, zgodnie z nową definicją, pojazd nie musi już wcale znajdować się drodze”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Łoboz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dotyczą posiadaczy pojazdów wolnobieżnych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Definicyjne zmiany w ustawie o ubezpieczeniach obowiązkowych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ważne zwłaszcza dla posiadaczy pojazdów wolnobieżnych</w:t>
      </w:r>
      <w:r>
        <w:rPr>
          <w:rFonts w:ascii="calibri" w:hAnsi="calibri" w:eastAsia="calibri" w:cs="calibri"/>
          <w:sz w:val="24"/>
          <w:szCs w:val="24"/>
        </w:rPr>
        <w:t xml:space="preserve">. Już w poprzednim stanie prawnym pojawiały się opinie dotyczące konieczności objęcia obowiązkowym ubezpieczeniem OC wózków widłowych oraz podobnych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nieporuszających się po drogach publicznych i/lub prywatnych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 Maśniak [w:] J. Nawracała, D. Maśniak, Komentarz do niektórych przepisów ustawy o ubezpieczeniach obowiązkowych, Ubezpieczeniowym Funduszu Gwarancyjnym i Polskim Biurze Ubezpieczycieli Komunikacyjnych [w:] Kontrakty na rynku ubezpieczeń. Komentarz do przepisów i warunków ubezpieczenia, Warszawa 2020, art. 29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definicje ustawowe dostarczają dodatkowych argumentów popierających tezę o konieczności objęcia obowiązkowym ubezpieczeniem OC wózków widłowych oraz podobnych pojazdów wolnobieżnych, wykorzystywanych poza drogami publicznymi oraz prywatnymi. Taka sytuacja oznacza dodatkowy wydatek dla przedsiębiorców, ale i większą ochronę dla pracowników w razie różnego rodzaju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niedawno zmieniło się w przepisach dotyczących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multiagencji ubezpieczeniowej Unilink zwracają również uwagę na inne niedawne zmiany prawne, dotyczące obowiązkowego ubezpieczenia OC. Chodzi o następujące modyfikacje przepisów: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OC dla posiadaczy pojazdów mechanicznych</w:t>
      </w:r>
      <w:r>
        <w:rPr>
          <w:rFonts w:ascii="calibri" w:hAnsi="calibri" w:eastAsia="calibri" w:cs="calibri"/>
          <w:sz w:val="24"/>
          <w:szCs w:val="24"/>
        </w:rPr>
        <w:t xml:space="preserve"> do 29 876 400 złotych w przypadku szkód na osobie i 6 021 600 złotych w razie szkód na mieniu (zmiany wprowadzono wstecznie, dla umów zawartych od 23 grudnia 2023 r. oraz dla szkód zaistniałych od tego dnia, co jest związane z opóźnieniami w implementacji unijnych przepisów);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gwarancyjnych, które dotyczą OC dla rolników</w:t>
      </w:r>
      <w:r>
        <w:rPr>
          <w:rFonts w:ascii="calibri" w:hAnsi="calibri" w:eastAsia="calibri" w:cs="calibri"/>
          <w:sz w:val="24"/>
          <w:szCs w:val="24"/>
        </w:rPr>
        <w:t xml:space="preserve"> - również do 29 876 400 złotych w przypadku szkód na osobie i 6 021 600 złotych w razie szkód na mieniu (wyższe sumy są stosowane wstecznie - na takich zasadach, jak przy OC dla kierowców);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zobowiązanie UFG do wypłaty świadczeń polskim poszkodowanym (w wypadku na terenie Polski) po niewypłacalności krajowego lub unijnego ubezpieczyciela (PBUK będzie odpowiedzialny za skutki niewypłacalności ubezpieczyciela w odniesieniu do zdarzeń, które miały miejsce na terenie innego kraju - również spoza UE);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przepisów, które tworzą dla UFG specjalny fundusz do spraw niewypłacalności zasilany wpłatami ubezpieczycieli (do 0,1% składki przypisanej brutto z obowiązkowego OC);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uregulowanie kwestii wypłaty przez UFG świadczeń za historyczne szkody (od 11 grudnia 2009 r. do 10 czerwca 2012 r.), co stanowi następstwo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Wyroku Trybunału Sprawiedliwości Unii Europejskiej z dnia 21 grudnia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(C-428/20);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zakazu dyskryminacji ubezpieczonego (posiadacza pojazdu mechanicznego) ze względu na narodowość oraz poprzednie miejsce zamieszkania w przypadku stosowania zaświadczeń o przebiegu ubezpieczenia do wyliczania składki 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zobligowanie PBUK oraz UFG do zamieszczania na swoich stronach www informacji o sposobach dochodzenia roszczeń (w tym na drodze sądowej);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wyłączenie ruchu pojazdów związanego ze sportem motorowym z przepisów dotyczących obowiązkowego 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niedawnych zmian w zakresie obowiązkowego OC jest całkiem sporo, a niektóre z nich mogą być istotne dla „typowego” Kowalskiego.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ubezpieczyciele i Agenci ubezpieczeniowi powinni w miarę możliwości informować swoich klientów o nowych przepisach</w:t>
      </w:r>
      <w:r>
        <w:rPr>
          <w:rFonts w:ascii="calibri" w:hAnsi="calibri" w:eastAsia="calibri" w:cs="calibri"/>
          <w:sz w:val="24"/>
          <w:szCs w:val="24"/>
        </w:rPr>
        <w:t xml:space="preserve">” – podsumowuje Maciej Łoboz, ekspert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ustaw.gov.pl/D2024000156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2025-11-02T00:44:17+01:00</dcterms:created>
  <dcterms:modified xsi:type="dcterms:W3CDTF">2025-11-02T00:44:17+01:00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