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Ruch po nowemu, czyli ważne zmiany w OC dla kierowców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Ostatnio w kontekście zmian dotyczących OC posiadaczy pojazdów mechanicznych mówi się przede wszystkim o nowych, wyższych stawkach opłat karnych na 2025 r.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Warto jednak pamiętać, że nieco wcześniej (w listopadzie 2024 r.) miały miejsce inne zmiany dotyczące obowiązkowych ubezpieczeń komunikacyjnych dla kierowców. Jedna z tych zmian jest trochę niedoceniana, gdyż media bardziej skupiają się np. na listopadowym podniesieniu limitów odpowiedzialności ubezpieczycieli.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Ważniejszą kwestią dla wielu posiadaczy pojazdów mechanicznych może być jednak </w:t>
      </w:r>
      <w:r>
        <w:rPr>
          <w:rFonts w:ascii="calibri" w:hAnsi="calibri" w:eastAsia="calibri" w:cs="calibri"/>
          <w:sz w:val="24"/>
          <w:szCs w:val="24"/>
          <w:b/>
        </w:rPr>
        <w:t xml:space="preserve">niedawna zmiana definicji wprowadzenia pojazdu do ruchu</w:t>
      </w:r>
      <w:r>
        <w:rPr>
          <w:rFonts w:ascii="calibri" w:hAnsi="calibri" w:eastAsia="calibri" w:cs="calibri"/>
          <w:sz w:val="24"/>
          <w:szCs w:val="24"/>
        </w:rPr>
        <w:t xml:space="preserve">. Eksperci największej w Polsce multiagencji ubezpieczeniowej Unilink wyjaśniają, dlaczego modyfikacja przepisów jest istotna między innymi dla posiadaczy pojazdów wolnobieżnych.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w ustawie o OC nadeszły, choć z dużym opóźnieniem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ścisłości warto przypomnieć, że analizowane zmiany prawne wynikają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ustawy z dnia 13 września 2024 r. o zmianie ustawy o ubezpieczeniach obowiązkowych, Ubezpieczeniowym Funduszu Gwarancyjnym i Polskim Biurze Ubezpieczycieli Komunikacyjnych oraz ustawy o działalności ubezpieczeniowej i reasekuracyjnej </w:t>
      </w:r>
      <w:r>
        <w:rPr>
          <w:rFonts w:ascii="calibri" w:hAnsi="calibri" w:eastAsia="calibri" w:cs="calibri"/>
          <w:sz w:val="24"/>
          <w:szCs w:val="24"/>
        </w:rPr>
        <w:t xml:space="preserve">(Dz.U. 2024 poz. 1565). Ten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 prawny</w:t>
        </w:r>
      </w:hyperlink>
      <w:r>
        <w:rPr>
          <w:rFonts w:ascii="calibri" w:hAnsi="calibri" w:eastAsia="calibri" w:cs="calibri"/>
          <w:sz w:val="24"/>
          <w:szCs w:val="24"/>
        </w:rPr>
        <w:t xml:space="preserve"> wszedł w życie 6 listopada 2024 roku, ale niektóre jego przepisy obowiązują wstecznie.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Wynika to z faktu, że Polska spóźniła się z implementacją do swojego prawa Dyrektywy Parlamentu Europejskiego i Rady (UE) 2021/2118 z dnia 24 listopada 2021 r.</w:t>
      </w:r>
      <w:r>
        <w:rPr>
          <w:rFonts w:ascii="calibri" w:hAnsi="calibri" w:eastAsia="calibri" w:cs="calibri"/>
          <w:sz w:val="24"/>
          <w:szCs w:val="24"/>
        </w:rPr>
        <w:t xml:space="preserve">”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Prajsnar</w:t>
      </w:r>
      <w:r>
        <w:rPr>
          <w:rFonts w:ascii="calibri" w:hAnsi="calibri" w:eastAsia="calibri" w:cs="calibri"/>
          <w:sz w:val="24"/>
          <w:szCs w:val="24"/>
        </w:rPr>
        <w:t xml:space="preserve">, ekspert multiagencji ubezpieczeniowej Unilink.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Wprowadzenie pojazdu do ruchu jest niezależne… od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wcześniej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Dyrektywa Parlamentu Europejskiego i Rady (UE) 2021/2118</w:t>
      </w:r>
      <w:r>
        <w:rPr>
          <w:rFonts w:ascii="calibri" w:hAnsi="calibri" w:eastAsia="calibri" w:cs="calibri"/>
          <w:sz w:val="24"/>
          <w:szCs w:val="24"/>
        </w:rPr>
        <w:t xml:space="preserve"> uwzględniająca orzecznictwo Trybunału Sprawiedliwości Unii Europejskiej, wymusiła wprowadzenie do polskich przepisów </w:t>
      </w:r>
      <w:r>
        <w:rPr>
          <w:rFonts w:ascii="calibri" w:hAnsi="calibri" w:eastAsia="calibri" w:cs="calibri"/>
          <w:sz w:val="24"/>
          <w:szCs w:val="24"/>
          <w:b/>
        </w:rPr>
        <w:t xml:space="preserve">definicji ruchu pojazdu</w:t>
      </w:r>
      <w:r>
        <w:rPr>
          <w:rFonts w:ascii="calibri" w:hAnsi="calibri" w:eastAsia="calibri" w:cs="calibri"/>
          <w:sz w:val="24"/>
          <w:szCs w:val="24"/>
        </w:rPr>
        <w:t xml:space="preserve">. Od 6 listopada 2024 r.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ustawie z dnia 22 maja 2003 r. o ubezpieczeniach obowiązkowych, Ubezpieczeniowym Funduszu Gwarancyjnym i Polskim Biurze Ubezpieczycieli Komunikacyjnych</w:t>
      </w:r>
      <w:r>
        <w:rPr>
          <w:rFonts w:ascii="calibri" w:hAnsi="calibri" w:eastAsia="calibri" w:cs="calibri"/>
          <w:sz w:val="24"/>
          <w:szCs w:val="24"/>
        </w:rPr>
        <w:t xml:space="preserve"> znajdziemy następującą definicję: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ruch pojazdu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każde użycie pojazdu mechanicznego, które w czasie zdarzenia jest zgodne z funkcją tego pojazdu jako środka transportu, niezależnie od jego cech i terenu, na którym jest używany,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niezależnie od tego, czy jest on nieruchomy, czy też znajduje się w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ustawodawca przygotował też </w:t>
      </w:r>
      <w:r>
        <w:rPr>
          <w:rFonts w:ascii="calibri" w:hAnsi="calibri" w:eastAsia="calibri" w:cs="calibri"/>
          <w:sz w:val="24"/>
          <w:szCs w:val="24"/>
          <w:b/>
        </w:rPr>
        <w:t xml:space="preserve">nową definicję wprowadzenia pojazdu do ruchu</w:t>
      </w:r>
      <w:r>
        <w:rPr>
          <w:rFonts w:ascii="calibri" w:hAnsi="calibri" w:eastAsia="calibri" w:cs="calibri"/>
          <w:sz w:val="24"/>
          <w:szCs w:val="24"/>
        </w:rPr>
        <w:t xml:space="preserve">, która brzmi następująco: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wprowadzenie pojazdu do ruchu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każde użycie pojazdu mechanicznego zgodne z funkcją tego pojazdu jako środka transportu,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niezależnie od jego cech i terenu, na którym jest używany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oraz niezależnie od tego, czy jest on nieruchomy, czy też znajduje się w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zgodnie ze wcześniejszą definicją, wprowadzenie pojazdu do ruchu oznaczało wprowadzenie pojazdu na drogę, rozumianą zgodnie z art. 2 pkt 1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ustawy - Prawo o ruchu drogowym</w:t>
      </w:r>
      <w:r>
        <w:rPr>
          <w:rFonts w:ascii="calibri" w:hAnsi="calibri" w:eastAsia="calibri" w:cs="calibri"/>
          <w:sz w:val="24"/>
          <w:szCs w:val="24"/>
        </w:rPr>
        <w:t xml:space="preserve"> oraz art. 4 pkt 2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ustawy z dnia 21 marca 1985 r. o drogach publicznych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Chodziło zatem o drogę rozumianą jako wydzielony pas terenu składający się z jezdni, pobocza, chodnika, drogi dla pieszych lub drogi dla rowerów, łącznie z torowiskiem pojazdów szynowych znajdującym się w obrębie tego pasa i jako pas terenu przeznaczony do ruchu lub postoju pojazdów, ruchu pieszych, ruchu osób poruszających się przy użyciu urządzenia wspomagającego ruch, jazdy wierzchem lub pędzenia zwierząt (zobacz: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M. Maliszewska [w:] Ustawa o ubezpieczeniach obowiązkowych, Ubezpieczeniowym Funduszu Gwarancyjnym i Polskim Biurze Ubezpieczycieli Komunikacyjnych. Komentarz, red. G. Dybała, K. Szpyt, Warszawa 2022, art. 2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„Teraz, zgodnie z nową definicją, pojazd nie musi już wcale znajdować się drodze”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Maciej Łoboz</w:t>
      </w:r>
      <w:r>
        <w:rPr>
          <w:rFonts w:ascii="calibri" w:hAnsi="calibri" w:eastAsia="calibri" w:cs="calibri"/>
          <w:sz w:val="24"/>
          <w:szCs w:val="24"/>
        </w:rPr>
        <w:t xml:space="preserve">, ekspert multiagencji ubezpieczeniowej Unilink.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dotyczą posiadaczy pojazdów wolnobieżnych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Definicyjne zmiany w ustawie o ubezpieczeniach obowiązkowych są </w:t>
      </w:r>
      <w:r>
        <w:rPr>
          <w:rFonts w:ascii="calibri" w:hAnsi="calibri" w:eastAsia="calibri" w:cs="calibri"/>
          <w:sz w:val="24"/>
          <w:szCs w:val="24"/>
          <w:b/>
        </w:rPr>
        <w:t xml:space="preserve">ważne zwłaszcza dla posiadaczy pojazdów wolnobieżnych</w:t>
      </w:r>
      <w:r>
        <w:rPr>
          <w:rFonts w:ascii="calibri" w:hAnsi="calibri" w:eastAsia="calibri" w:cs="calibri"/>
          <w:sz w:val="24"/>
          <w:szCs w:val="24"/>
        </w:rPr>
        <w:t xml:space="preserve">. Już w poprzednim stanie prawnym pojawiały się opinie dotyczące konieczności objęcia obowiązkowym ubezpieczeniem OC wózków widłowych oraz podobnych pojazdów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nieporuszających się po drogach publicznych i/lub prywatnych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D. Maśniak [w:] J. Nawracała, D. Maśniak, Komentarz do niektórych przepisów ustawy o ubezpieczeniach obowiązkowych, Ubezpieczeniowym Funduszu Gwarancyjnym i Polskim Biurze Ubezpieczycieli Komunikacyjnych [w:] Kontrakty na rynku ubezpieczeń. Komentarz do przepisów i warunków ubezpieczenia, Warszawa 2020, art. 29</w:t>
      </w:r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definicje ustawowe dostarczają dodatkowych argumentów popierających tezę o konieczności objęcia obowiązkowym ubezpieczeniem OC wózków widłowych oraz podobnych pojazdów wolnobieżnych, wykorzystywanych poza drogami publicznymi oraz prywatnymi. Taka sytuacja oznacza dodatkowy wydatek dla przedsiębiorców, ale i większą ochronę dla pracowników w razie różnego rodzaju wypadków.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jeszcze niedawno zmieniło się w przepisach dotyczących OC?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multiagencji ubezpieczeniowej Unilink zwracają również uwagę na inne niedawne zmiany prawne, dotyczące obowiązkowego ubezpieczenia OC. Chodzi o następujące modyfikacje przepisów: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podwyższenie minimalnych sum gwarancyjnych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OC dla posiadaczy pojazdów mechanicznych</w:t>
      </w:r>
      <w:r>
        <w:rPr>
          <w:rFonts w:ascii="calibri" w:hAnsi="calibri" w:eastAsia="calibri" w:cs="calibri"/>
          <w:sz w:val="24"/>
          <w:szCs w:val="24"/>
        </w:rPr>
        <w:t xml:space="preserve"> do 29 876 400 złotych w przypadku szkód na osobie i 6 021 600 złotych w razie szkód na mieniu (zmiany wprowadzono wstecznie, dla umów zawartych od 23 grudnia 2023 r. oraz dla szkód zaistniałych od tego dnia, co jest związane z opóźnieniami w implementacji unijnych przepisów);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podwyższenie minimalnych sum gwarancyjnych, które dotyczą OC dla rolników</w:t>
      </w:r>
      <w:r>
        <w:rPr>
          <w:rFonts w:ascii="calibri" w:hAnsi="calibri" w:eastAsia="calibri" w:cs="calibri"/>
          <w:sz w:val="24"/>
          <w:szCs w:val="24"/>
        </w:rPr>
        <w:t xml:space="preserve"> - również do 29 876 400 złotych w przypadku szkód na osobie i 6 021 600 złotych w razie szkód na mieniu (wyższe sumy są stosowane wstecznie - na takich zasadach, jak przy OC dla kierowców);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zobowiązanie UFG do wypłaty świadczeń polskim poszkodowanym (w wypadku na terenie Polski) po niewypłacalności krajowego lub unijnego ubezpieczyciela (PBUK będzie odpowiedzialny za skutki niewypłacalności ubezpieczyciela w odniesieniu do zdarzeń, które miały miejsce na terenie innego kraju - również spoza UE);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wprowadzenie przepisów, które tworzą dla UFG specjalny fundusz do spraw niewypłacalności zasilany wpłatami ubezpieczycieli (do 0,1% składki przypisanej brutto z obowiązkowego OC);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uregulowanie kwestii wypłaty przez UFG świadczeń za historyczne szkody (od 11 grudnia 2009 r. do 10 czerwca 2012 r.), co stanowi następstwo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Wyroku Trybunału Sprawiedliwości Unii Europejskiej z dnia 21 grudnia 2021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(C-428/20);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wprowadzenie zakazu dyskryminacji ubezpieczonego (posiadacza pojazdu mechanicznego) ze względu na narodowość oraz poprzednie miejsce zamieszkania w przypadku stosowania zaświadczeń o przebiegu ubezpieczenia do wyliczania składki OC;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zobligowanie PBUK oraz UFG do zamieszczania na swoich stronach www informacji o sposobach dochodzenia roszczeń (w tym na drodze sądowej);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wyłączenie ruchu pojazdów związanego ze sportem motorowym z przepisów dotyczących obowiązkowego 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niedawnych zmian w zakresie obowiązkowego OC jest całkiem sporo, a niektóre z nich mogą być istotne dla „typowego” Kowalskiego.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ubezpieczyciele i Agenci ubezpieczeniowi powinni w miarę możliwości informować swoich klientów o nowych przepisach</w:t>
      </w:r>
      <w:r>
        <w:rPr>
          <w:rFonts w:ascii="calibri" w:hAnsi="calibri" w:eastAsia="calibri" w:cs="calibri"/>
          <w:sz w:val="24"/>
          <w:szCs w:val="24"/>
        </w:rPr>
        <w:t xml:space="preserve">” – podsumowuje Maciej Łoboz, ekspert Unilink.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ziennikustaw.gov.pl/D20240001565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2026-09-27T00:18:00+02:00</dcterms:created>
  <dcterms:modified xsi:type="dcterms:W3CDTF">2026-09-27T00:18:00+02:00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