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Nowotwory: coraz więcej obaw i… polis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Krajowe media niedawno poinformowały, że według szacunków WHO za 25 lat globalna roczna liczba zachorowań na nowotwory może być o około 80% wyższa niż obecnie. Ten trend raczej nie oszczędzi Polski. W naszym kraju już teraz ponad 1 milion osób żyje z chorobą nowotworową, a nowotwory odpowiadają za co czwarty zgon.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obawy rodaków związane z chorobami nowotworowymi skutkują większym zainteresowaniem odpowiednimi polisami. Obecnie ich oferta jest o wiele szersza niż jeszcze kilka lat temu. Można więc przewidywać, że rynek takich ubezpieczeń będzie nadal się rozwijał. Oznacza to korzyści dla konsumentów, ale również większe problemy z samodzielnym wyborem ochrony przez rodaków. Sytuację analizują eksperci największej w kraju multiagencji ubezpieczeniowej Unilink.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Statystyki z całej Polski niestety wyglądają niepokojąco…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polisami „rakowymi” częściej zainteresowani są mieszkańcy powiatów z większą częstością zgonów na nowotwory? Trudno powiedzieć. Poniższa mapa potwierdza, że poszczególne powiaty i miasta na prawach powiatu cechują się dość dużym zróżnicowaniem liczby zgonów na nowotwory w przeliczeniu na 100 000 osób. Różnice tego wskaźnika bywają nawet dwukrotne, a negatywnie w 2022 r. wyróżniały się takie miasta jak np. Bydgoszcz, Katowice, Gliwice, Sosnowiec i Chorzów. Dużo lepiej prezentował się np. powiat rzeszowski, kartuski oraz ropczycko-sędziszowski.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można jednak stwierdzić jednoznacznie, że w jakiejś części kraju temat zachorowań na nowotwory i zgonów z ich powodu jest mało istotny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Dyrektor Zarządzający sprzedażą produktów zdrowotnych i życiowych w </w:t>
      </w:r>
      <w:r>
        <w:rPr>
          <w:rFonts w:ascii="calibri" w:hAnsi="calibri" w:eastAsia="calibri" w:cs="calibri"/>
          <w:sz w:val="24"/>
          <w:szCs w:val="24"/>
        </w:rPr>
        <w:t xml:space="preserve">Unilink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 niedawno poi</w:t>
      </w:r>
      <w:r>
        <w:rPr>
          <w:rFonts w:ascii="calibri" w:hAnsi="calibri" w:eastAsia="calibri" w:cs="calibri"/>
          <w:sz w:val="24"/>
          <w:szCs w:val="24"/>
        </w:rPr>
        <w:t xml:space="preserve">nfo</w:t>
      </w:r>
      <w:r>
        <w:rPr>
          <w:rFonts w:ascii="calibri" w:hAnsi="calibri" w:eastAsia="calibri" w:cs="calibri"/>
          <w:sz w:val="24"/>
          <w:szCs w:val="24"/>
        </w:rPr>
        <w:t xml:space="preserve">rmował, że w 2022 r. nowotwory stanowiły przyczynę 24% wszystkich zgonów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Niestety, w 2022 r. zaobserwowano wzrost umieralności na nowotwory w prawie wszystkich grupach wiekowych (oprócz mężczyzn liczących 45 - 59 lat). Brakuje nam natomiast ubiegłorocznych danych. Ogólnie rzecz biorąc, jakość i aktualność statystyk dotyczących zachorowań na nowotwory oraz zgonów z ich powodu pozostawia nieco do życzenia. Ważniejszym problemem jest jednak fakt, że skorygowany o różnice wieku populacji wskaźnik śmiertelności nowotworów z 2022 r. (133 na 100 000 osób) był w Polsce jednym z najwyższych wśród 185 państw analizowanych przez WHO i </w:t>
      </w:r>
      <w:r>
        <w:rPr>
          <w:rFonts w:ascii="calibri" w:hAnsi="calibri" w:eastAsia="calibri" w:cs="calibri"/>
          <w:sz w:val="24"/>
          <w:szCs w:val="24"/>
        </w:rPr>
        <w:t xml:space="preserve">Cancer TODAY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Gorszy wynik odnotowano tylko w trzech krajach - w Zimbabwe, Mongolii i na Węgrzech</w:t>
      </w:r>
      <w:r>
        <w:rPr>
          <w:rFonts w:ascii="calibri" w:hAnsi="calibri" w:eastAsia="calibri" w:cs="calibri"/>
          <w:sz w:val="24"/>
          <w:szCs w:val="24"/>
        </w:rPr>
        <w:t xml:space="preserve">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Zgony z powodu nowotworów ogółem na 100 tys. ludności (2022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GUS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Oferta ubezpieczycieli staje się coraz szersza i ciekawsza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wszystkich zaprezentowanych wcześniej informacji trudno się dziwić, że część rodaków ma obawy związane z zachorowaniem na nowotwór. Wspomniane obawy mogą potęgować informacje o </w:t>
      </w:r>
      <w:r>
        <w:rPr>
          <w:rFonts w:ascii="calibri" w:hAnsi="calibri" w:eastAsia="calibri" w:cs="calibri"/>
          <w:sz w:val="24"/>
          <w:szCs w:val="24"/>
        </w:rPr>
        <w:t xml:space="preserve">finansowych trudnościach rodzimej służby zdrowia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Czy w opisywanej sytuacji można znaleźć jakiś pozytywny aspekt? Dotyczy on w zasadzie tylko tego, że ubezpieczyciele coraz lepiej odpowiadają na potrzeby klientów, a oferta polis „antyrakowych” jest szersza niż jeszcze kilka lat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Zdecydowana większość Towarzystw obecnych dziś na rynku ma w ofercie opcje rakowe, albo jako oddzielny rider do umowy głównej polis na życie, albo w ryzykach poważnego zachorowania. Czyli za postawioną diagnozę ubezpieczyciel wypłaca świadczenie i ewentualnie finansuje leczenie, ale w ograniczonym zakresie”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Leszek Osiewacz</w:t>
      </w:r>
      <w:r>
        <w:rPr>
          <w:rFonts w:ascii="calibri" w:hAnsi="calibri" w:eastAsia="calibri" w:cs="calibri"/>
          <w:sz w:val="24"/>
          <w:szCs w:val="24"/>
        </w:rPr>
        <w:t xml:space="preserve">,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innym jest natomiast leczenie. Tutaj trzeba odnosić się do produktów takich jak Global Doctors, czy produkt szpitalny w Luxmedzie, gdzie mamy do czynienia już wprost z procesem leczenia. Chodzi o zabieg usunięcia guza, naświetlania, leki, rehabilitację po przebytej 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Unilink radzą, aby zwrócić uwagę na następujące, przykładowe polisy indywidualne z ochroną nowotworową: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ERGO 4 (Ergo Hestia)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Global Doctors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jutra (NN)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Dbamy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Pełnej Ochrony (Allianz)</w:t>
      </w:r>
      <w:r>
        <w:rPr>
          <w:rFonts w:ascii="calibri" w:hAnsi="calibri" w:eastAsia="calibri" w:cs="calibri"/>
          <w:sz w:val="24"/>
          <w:szCs w:val="24"/>
        </w:rPr>
        <w:t xml:space="preserve"> z wariantem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Opieka medyczna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Ochrona Każdego Dnia (PZU)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Perspektywa na Przyszłość (PZU)</w:t>
      </w:r>
      <w:r>
        <w:rPr>
          <w:rFonts w:ascii="calibri" w:hAnsi="calibri" w:eastAsia="calibri" w:cs="calibri"/>
          <w:sz w:val="24"/>
          <w:szCs w:val="24"/>
        </w:rPr>
        <w:t xml:space="preserve"> z opcją wsparcia w razie ciężkiej choroby dziecka;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Terminowe ubezpieczenie na życie (Signal Iduna)</w:t>
      </w:r>
      <w:r>
        <w:rPr>
          <w:rFonts w:ascii="calibri" w:hAnsi="calibri" w:eastAsia="calibri" w:cs="calibri"/>
          <w:sz w:val="24"/>
          <w:szCs w:val="24"/>
        </w:rPr>
        <w:t xml:space="preserve"> z możliwością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Zdrowie bez granic</w:t>
      </w:r>
      <w:r>
        <w:rPr>
          <w:rFonts w:ascii="calibri" w:hAnsi="calibri" w:eastAsia="calibri" w:cs="calibri"/>
          <w:sz w:val="24"/>
          <w:szCs w:val="24"/>
        </w:rPr>
        <w:t xml:space="preserve">”;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Warta Ochrona (Warta)</w:t>
      </w:r>
      <w:r>
        <w:rPr>
          <w:rFonts w:ascii="calibri" w:hAnsi="calibri" w:eastAsia="calibri" w:cs="calibri"/>
          <w:sz w:val="24"/>
          <w:szCs w:val="24"/>
        </w:rPr>
        <w:t xml:space="preserve"> z opcją ubezpieczenia organizacji i pokrycia kosztów leczenia za granicą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Leczenie za granicą</w:t>
      </w:r>
      <w:r>
        <w:rPr>
          <w:rFonts w:ascii="calibri" w:hAnsi="calibri" w:eastAsia="calibri" w:cs="calibri"/>
          <w:sz w:val="24"/>
          <w:szCs w:val="24"/>
        </w:rPr>
        <w:t xml:space="preserve">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lista zwraca uwagę na opcję dodatkową, która coraz bardziej interesuje potencjalnych klientów firm ubezpieczeniowych.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 o leczenie onkologiczne za granicą, które zakłady ubezpieczeń oferują w ramach umowy dodatkowej. Taki wariant rozszerzenia ochrony skutkuje mniejszym wzrostem składki niż może sądzić wiele osób. Warto go rozważyć przy wyborze polisy</w:t>
      </w:r>
      <w:r>
        <w:rPr>
          <w:rFonts w:ascii="calibri" w:hAnsi="calibri" w:eastAsia="calibri" w:cs="calibri"/>
          <w:sz w:val="24"/>
          <w:szCs w:val="24"/>
        </w:rPr>
        <w:t xml:space="preserve">” – wyjaśnia Leszek Osiewacz, Unilink.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Szersza oferta rynkowa to również trudności w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szersza oferta ubezpieczycieli może sprawiać, że osobom zainteresowanym ochroną „przeciwrakową” trudniej jest dokonać właściwego wyboru. Tym bardziej, że w ramach poszczególnych ubezpieczeń dostępne są jeszcze różne warianty. Wspomniany problem nie wydaje się jednak poważny, bo coraz więcej osób przed wyborem polisy chroniącej ich zdrowie i życie korzysta z pomocy agenta ubezpieczeniowego. Warto zawsze analizować warunki takich umów z Agentem.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Pośrednicy muszą być gotowi na to, że rozmowy z klientami coraz częściej będą dotyczyć właśnie tematów związanych ze zdrowiem oraz życiem</w:t>
      </w:r>
      <w:r>
        <w:rPr>
          <w:rFonts w:ascii="calibri" w:hAnsi="calibri" w:eastAsia="calibri" w:cs="calibri"/>
          <w:sz w:val="24"/>
          <w:szCs w:val="24"/>
        </w:rPr>
        <w:t xml:space="preserve">” – podsumowuje </w:t>
      </w:r>
      <w:r>
        <w:rPr>
          <w:rFonts w:ascii="calibri" w:hAnsi="calibri" w:eastAsia="calibri" w:cs="calibri"/>
          <w:sz w:val="24"/>
          <w:szCs w:val="24"/>
        </w:rPr>
        <w:t xml:space="preserve">Andrzej Prajsnar.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Przypisy: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https://stat.gov.pl/obszary-tematyczne/ludnosc/trwanie-zycia/trwanie-zycia-w-2023-roku,2,18.html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https://gco.iarc.fr/today/en/dataviz/maps-heatmap?mode=population&amp;types=1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https://www.termedia.pl/mz/16-mld-zl-straty-dlaczego-z-NFZ-jest-zle-i-nie-bedzie-lepiej-,57995.html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nilink.biuroprasowe.pl/word/?hash=5d3f81d93f3a3897bebf968d72737439&amp;id=209834&amp;typ=epr#_ftn1" TargetMode="External"/><Relationship Id="rId8" Type="http://schemas.openxmlformats.org/officeDocument/2006/relationships/hyperlink" Target="http://unilink.biuroprasowe.pl/word/?hash=5d3f81d93f3a3897bebf968d72737439&amp;id=209834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unilink.biuroprasowe.pl/word/?hash=5d3f81d93f3a3897bebf968d72737439&amp;id=209834&amp;typ=epr#_ftn3" TargetMode="External"/><Relationship Id="rId11" Type="http://schemas.openxmlformats.org/officeDocument/2006/relationships/hyperlink" Target="http://unilink.biuroprasowe.pl/word/?hash=5d3f81d93f3a3897bebf968d72737439&amp;id=209834&amp;typ=epr#_ftnref1" TargetMode="External"/><Relationship Id="rId12" Type="http://schemas.openxmlformats.org/officeDocument/2006/relationships/hyperlink" Target="https://stat.gov.pl/obszary-tematyczne/ludnosc/trwanie-zycia/trwanie-zycia-w-2023-roku,2,18.html" TargetMode="External"/><Relationship Id="rId13" Type="http://schemas.openxmlformats.org/officeDocument/2006/relationships/hyperlink" Target="http://unilink.biuroprasowe.pl/word/?hash=5d3f81d93f3a3897bebf968d72737439&amp;id=209834&amp;typ=epr#_ftnref2" TargetMode="External"/><Relationship Id="rId14" Type="http://schemas.openxmlformats.org/officeDocument/2006/relationships/hyperlink" Target="https://gco.iarc.fr/today/en/dataviz/maps-heatmap?mode=population&amp;amp;amp;types=1" TargetMode="External"/><Relationship Id="rId15" Type="http://schemas.openxmlformats.org/officeDocument/2006/relationships/hyperlink" Target="http://unilink.biuroprasowe.pl/word/?hash=5d3f81d93f3a3897bebf968d72737439&amp;id=209834&amp;typ=epr#_ftnref3" TargetMode="External"/><Relationship Id="rId16" Type="http://schemas.openxmlformats.org/officeDocument/2006/relationships/hyperlink" Target="https://www.termedia.pl/mz/16-mld-zl-straty-dlaczego-z-NFZ-jest-zle-i-nie-bedzie-lepiej-,5799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2025-12-18T09:22:02+01:00</dcterms:created>
  <dcterms:modified xsi:type="dcterms:W3CDTF">2025-12-18T09:22:02+01:00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