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ostatnia runda programu "Startup Booster for Social Impact" Uniwersytetu SWPS, którego Unilink S.A. jest partnerem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 zaprasza zainteresowane akceleracją start-upy do ostatniej w tym roku, V. rundy programu "Startup Booster for Social Impact". Największa w Polsce multiagencja ubezpieczeniowa jest partnerem projektu w ścieżce branżowej Industry Path. Program, realizowany przez Centrum Transferu Wiedzy Uniwersytetu SWPS, wspiera impaktowe innowacje, które mogą rozwiązywać istotne problemy społeczne.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Unilink S.A. zaprasza zainteresowane akceleracją start-upy do ostatniej w tym roku, piątej rundy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Startup Booster for Social Impact</w:t>
      </w:r>
      <w:r>
        <w:rPr>
          <w:rFonts w:ascii="calibri" w:hAnsi="calibri" w:eastAsia="calibri" w:cs="calibri"/>
          <w:sz w:val="24"/>
          <w:szCs w:val="24"/>
          <w:b/>
        </w:rPr>
        <w:t xml:space="preserve">. Największa w Polsce multiagencja ubezpieczeniowa jest partnerem projektu w ścieżce branżowej Industry Path. Projekt, realizowany przez Centrum Transferu Wiedzy Uniwersytetu SWPS, wspiera impaktowe innowacje, które mogą rozwiązywać istotne problemy społeczne.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akceleracyjny </w:t>
      </w:r>
      <w:r>
        <w:rPr>
          <w:rFonts w:ascii="calibri" w:hAnsi="calibri" w:eastAsia="calibri" w:cs="calibri"/>
          <w:sz w:val="24"/>
          <w:szCs w:val="24"/>
          <w:b/>
        </w:rPr>
        <w:t xml:space="preserve">Startup Booster for Social Impact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pięć kolejnych rund akceleracji dla startupów</w:t>
      </w:r>
      <w:r>
        <w:rPr>
          <w:rFonts w:ascii="calibri" w:hAnsi="calibri" w:eastAsia="calibri" w:cs="calibri"/>
          <w:sz w:val="24"/>
          <w:szCs w:val="24"/>
        </w:rPr>
        <w:t xml:space="preserve">, które są wrażliwe na problemy społeczne i środowiskowe oraz gotowe podjąć się wyzwania opracowania rozwiązań wpisujących się w cele zrównoważonego rozwoju. W ramach programu startupy mogą skorzystać z trzech ścieżek akceleracji, w tym m.in. INDUSTRY PATH, której partnerem jest właśnie Unilink. Cztery pierwsze rundy naboru do programu w 2025 roku już się zakończyły.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początkiem października ruszyła ostatnia w tym roku, piąta już z kolei edycja naboru do programu. W ramach branżowej ścieżki INDUSTRY PATH, której partnerem jest Unilink, można ubiegać się o grant wynoszący aż 400 tys. złotych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Marcin Jastrzębski</w:t>
      </w:r>
      <w:r>
        <w:rPr>
          <w:rFonts w:ascii="calibri" w:hAnsi="calibri" w:eastAsia="calibri" w:cs="calibri"/>
          <w:sz w:val="24"/>
          <w:szCs w:val="24"/>
        </w:rPr>
        <w:t xml:space="preserve">, dyrektor ds. Rozwoju Nowych Kanałów Dystrybucji w Unilink.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 rozpocznie kick-off meeting z udziałem kadry zarządzającej Akceleratora, i przedstawicieli partnerów branżowych. Celem będzie omówienie procesu akceleracji i rozpoczęcie realizacji indywidualnego planu działań z danym startupem. Startup w trakcie akceleracji będzie raportował z realizacji założonych kamieni milowych i rozliczał się z wydatków poniesionych ze środków Programu. Proces zakończy się podsumowaniem w formie sprawozdania, które będzie m.in. zawierało propozycje działań wzmacniających osiągnięte rezultaty na etapie postakceleracji.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Obecna, ostatnia w tym roku, piąta runda naboru do programu trwa </w:t>
      </w:r>
      <w:r>
        <w:rPr>
          <w:rFonts w:ascii="calibri" w:hAnsi="calibri" w:eastAsia="calibri" w:cs="calibri"/>
          <w:sz w:val="24"/>
          <w:szCs w:val="24"/>
          <w:b/>
        </w:rPr>
        <w:t xml:space="preserve">od 1 października do piątku, 31 października 2025 r.</w:t>
      </w:r>
      <w:r>
        <w:rPr>
          <w:rFonts w:ascii="calibri" w:hAnsi="calibri" w:eastAsia="calibri" w:cs="calibri"/>
          <w:sz w:val="24"/>
          <w:szCs w:val="24"/>
        </w:rPr>
        <w:t xml:space="preserve"> włącznie - do godziny 23.59. Warto więc się pospieszyć!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Unilink zaprasza do udziału wszystkie zainteresowane start-upy.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akceleracyjny Startup Booster for Social Impact jest realizowany ze środków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Polskiej Agencji Rozwoju Przedsiębiorczości (PARP)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II priorytetu programu Fundusze Europejskie dla Nowoczesnej Gospodarki 2021-2027 (FENG), zgodnie z umową o dofinansowanie nr FENG.02.28-IP.02-0003/23-00.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Startup Booster for Social Impact: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https://booster.smarthost.swps.pl/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p.gov.pl/" TargetMode="External"/><Relationship Id="rId9" Type="http://schemas.openxmlformats.org/officeDocument/2006/relationships/hyperlink" Target="https://booster.smarthost.swp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2026-06-18T10:00:26+02:00</dcterms:created>
  <dcterms:modified xsi:type="dcterms:W3CDTF">2026-06-18T10:00:26+02:00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