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Polki: chorują na raka rzadziej niż Polacy i chcą się ubezpieczać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pewnego czasu, dwa jesienne miesiące upływają w mediach pod znakiem akcji informacyjnych promujących wiedzę na temat profilaktyki nowotworowej. W październiku tematem są nowotwory najczęściej występujące u kobiet, a w listopadzie uwaga skupia się na tym samym problemie dotyczącym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Nikogo nie trzeba przekonywać, że rak jest w Polsce kwestią bardzo ważną. GUS podaje, że w 2023 roku nowotwory były drugą najczęstszą przyczyną zgonów w naszym kraju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Inne statystyki prezentowane przez ekspertów multiagencji Unilink potwierdzają, że temat nadal jest poważny. Polki rzadziej niż Polacy umierają na nowotwory, ale ich śmiertelność nowotworowa spada wolniej.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UE tylko Węgierki jeszcze częściej umierają na nowotwory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już wcześniej informacja o tym, że Polki rzadziej niż Polacy umierają na nowotwory wcale nie oznacza, że sytuacja dotycząca kobiet mieszkających w Polsce jest dobra. Wręcz przeciwnie.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Global Cancer Observatory (GCO) wskazują, że w 2022 r.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 względem wskaźnika umieralności kobiet na nowotwory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(zgony na 100 000 kobiet), Polska zajmowała na Starym Kontynencie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czwarte miejsce od końca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wyprzedzając jedynie Słowenię, Włochy oraz Węgry</w:t>
      </w:r>
      <w:r>
        <w:rPr>
          <w:rFonts w:ascii="calibri" w:hAnsi="calibri" w:eastAsia="calibri" w:cs="calibri"/>
          <w:sz w:val="24"/>
          <w:szCs w:val="24"/>
        </w:rPr>
        <w:t xml:space="preserve">”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Iwona Piwowarska-Olbert</w:t>
      </w:r>
      <w:r>
        <w:rPr>
          <w:rFonts w:ascii="calibri" w:hAnsi="calibri" w:eastAsia="calibri" w:cs="calibri"/>
          <w:sz w:val="24"/>
          <w:szCs w:val="24"/>
        </w:rPr>
        <w:t xml:space="preserve">, ekspertka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wygląda jeszcze gorzej, jeśli weźmiemy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wskaźnik umieralności kobiet na nowotwory skorygowany o różnice wieku populacji</w:t>
      </w:r>
      <w:r>
        <w:rPr>
          <w:rFonts w:ascii="calibri" w:hAnsi="calibri" w:eastAsia="calibri" w:cs="calibri"/>
          <w:sz w:val="24"/>
          <w:szCs w:val="24"/>
        </w:rPr>
        <w:t xml:space="preserve"> różnych krajów świata. Właśnie ten wskaźnik został zaprezentowany na załączonej ilustracji (rys. 1.) Obliczenia GCO dotyczące skorygowanego wskaźnika umieralności kobiet na nowotwory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 2022 r. gorzej od Polski w Europie wypadały jedynie Węgry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Informacje z pozostałych krajów Starego Kontynentu znajdziemy na poniższej mapie. Warto zwrócić uwagę na państwa z wynikiem o jedną trzecią lepszym od naszego (Malta, Luksemburg, Finlandia, Szwajcaria, Albania i Hiszpania)</w:t>
      </w:r>
      <w:r>
        <w:rPr>
          <w:rFonts w:ascii="calibri" w:hAnsi="calibri" w:eastAsia="calibri" w:cs="calibri"/>
          <w:sz w:val="24"/>
          <w:szCs w:val="24"/>
        </w:rPr>
        <w:t xml:space="preserve">”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jeśli porównamy zapadalność na nowotwory (skorygowaną wiekowo), to okazuje się, że w przypadku kobiet wynik z Polski jest wyraźnie mniejszy od przeciętnej wartości dla analizowanych krajów Europy. Natomiast śmiertelność wypada fatalnie, lecz niestety to nie jest nowością.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Porównanie zapadalności i śmiertelności nowotworowej kobiet potwierdza, że pod względem skuteczności terapii onkologicznych jest jeszcze bardzo wiele do zrobienia. Oczywiście chodzi również o nowotwory dotykające mężczyzn</w:t>
      </w:r>
      <w:r>
        <w:rPr>
          <w:rFonts w:ascii="calibri" w:hAnsi="calibri" w:eastAsia="calibri" w:cs="calibri"/>
          <w:sz w:val="24"/>
          <w:szCs w:val="24"/>
        </w:rPr>
        <w:t xml:space="preserve">” - zaznacza </w:t>
      </w:r>
      <w:r>
        <w:rPr>
          <w:rFonts w:ascii="calibri" w:hAnsi="calibri" w:eastAsia="calibri" w:cs="calibri"/>
          <w:sz w:val="24"/>
          <w:szCs w:val="24"/>
          <w:b/>
        </w:rPr>
        <w:t xml:space="preserve">Iwona Piwowarska-Olbert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dotycząca Polek poprawia się wolniej niż u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przyjrzymy się analogicznym wskaźnikom obliczonym dla polskich mężczyzn, to sytuacja wygląda podobnie - zapadalność mniejsza od europejskiej mediany (także po skorygowaniu o wiek ludności) i wysoka śmiertelność. Najnowsze dostępne dane Global Cancer Observatory wskazują, że skorygowany wskaźnik zapadalności na nowotwory jest w przypadku polskich mężczyzn wyższy o 31% (względem kobiet).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porównaniu wskaźnika nowotworowej śmiertelności, różnica na niekorzyść panów wynosi zatrważające 66%</w:t>
      </w:r>
      <w:r>
        <w:rPr>
          <w:rFonts w:ascii="calibri" w:hAnsi="calibri" w:eastAsia="calibri" w:cs="calibri"/>
          <w:sz w:val="24"/>
          <w:szCs w:val="24"/>
        </w:rPr>
        <w:t xml:space="preserve">” - informuje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podawanych wyżej informacji, warto jednak zaakcentować znaczącą różnicę. GUS podaje bowiem, że w stosunku do 1985 r. standaryzowany współczynnik zgonów z powodu chorób nowotworowych mężczyzn spadł o około 20%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(wynik z 2023 r.).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Natomiast w przypadku kobiet, wieloletnia poprawa była niestety znacznie mniej widoczna, a wskaźnik obliczony dla 2023 r. wrócił nawet do poziomu notowanego 40 lat temu, co z pewnością trudno uznać za powód do dumy</w:t>
      </w:r>
      <w:r>
        <w:rPr>
          <w:rFonts w:ascii="calibri" w:hAnsi="calibri" w:eastAsia="calibri" w:cs="calibri"/>
          <w:sz w:val="24"/>
          <w:szCs w:val="24"/>
        </w:rPr>
        <w:t xml:space="preserve">” – podkreśla Iwona Piwowarska-Olbert,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Sugestywne wydają się też statystyki dotyczące skumulowanego ryzyka zachorowania i zgonu na nowotwór obliczone dla noworodków płci męskiej i żeńskiej (przy założeniu dotychczasowej śmiertelności). W przypadku polskich kobiet, taki skumulowany wskaźnik ryzyka wynosi 23,6% (zachorowanie na nowotwór przed wiekiem 75 lat) oraz 11,4% (zgon przed wiekiem 75 lat)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przykładowej Szwecji, analogiczne wskaźniki ryzyka to 27,6% (zachorowanie) i 8,3% (zgon). Wróćmy jednak do sytuacji z Polski.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może zaskakiwać fakt, że wyniki dotyczące polskich panów wypadają gorzej niż u Polek - odpowiednio 31,1% oraz 18,2%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bardziej otwarte na polisy, ale mają pewien problem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zaprzeczyć, że wysokie wskaźniki nowotworowej śmiertelności mają pewien związek ze specyfiką rodzimej służby zdrowia, która odczuwa wzrost obciążenia demograficznego. Świadomość problemów dotyczących publicznego systemu opieki zdrowotnej jest u Polaków widoczna od lat. W ciągu ostatnich około dziesięciu lat, ta świadomość - dzięki poprawie sytuacji finansowej wielu gospodarstw domowych - przełożyła się na decyzje o zakupie szeroko pojętych polis i pakietów medycznych.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Agenci Unilink zwracają uwagę, że od kilku lat większe zainteresowanie wzbudzają polisy umożliwiające sfinansowanie leczenie nowotworu za granicą (na przykład w ramach pakietów Global Doctors)</w:t>
      </w:r>
      <w:r>
        <w:rPr>
          <w:rFonts w:ascii="calibri" w:hAnsi="calibri" w:eastAsia="calibri" w:cs="calibri"/>
          <w:sz w:val="24"/>
          <w:szCs w:val="24"/>
        </w:rPr>
        <w:t xml:space="preserve">” - informuje Iwona Piwowarska-Olbert.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szybkiego wzrostu znaczenia polis medycznych, niestety brakuje nam informacji na temat preferencji mężczyzn i kobiet. Można tu zatem posiłkować się niedawno opublikowanymi w maju bieżącego roku wynikami badania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Portret Finansowy Polaków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 ciekawa analiza wskazuje, że pomimo braku dużych różnic między kobietami i mężczyznami w zakresie posiadania różnych ubezpieczeń, </w:t>
      </w:r>
      <w:r>
        <w:rPr>
          <w:rFonts w:ascii="calibri" w:hAnsi="calibri" w:eastAsia="calibri" w:cs="calibri"/>
          <w:sz w:val="24"/>
          <w:szCs w:val="24"/>
          <w:b/>
        </w:rPr>
        <w:t xml:space="preserve">widoczna jest pewna odmienność postaw</w:t>
      </w:r>
      <w:r>
        <w:rPr>
          <w:rFonts w:ascii="calibri" w:hAnsi="calibri" w:eastAsia="calibri" w:cs="calibri"/>
          <w:sz w:val="24"/>
          <w:szCs w:val="24"/>
        </w:rPr>
        <w:t xml:space="preserve">. Mianowicie, </w:t>
      </w:r>
      <w:r>
        <w:rPr>
          <w:rFonts w:ascii="calibri" w:hAnsi="calibri" w:eastAsia="calibri" w:cs="calibri"/>
          <w:sz w:val="24"/>
          <w:szCs w:val="24"/>
          <w:b/>
        </w:rPr>
        <w:t xml:space="preserve">kobiety są bardziej pozytywnie nastawione do ubezpieczania się</w:t>
      </w:r>
      <w:r>
        <w:rPr>
          <w:rFonts w:ascii="calibri" w:hAnsi="calibri" w:eastAsia="calibri" w:cs="calibri"/>
          <w:sz w:val="24"/>
          <w:szCs w:val="24"/>
        </w:rPr>
        <w:t xml:space="preserve">, ale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częściej wskazują na ograniczenia finansowe</w:t>
      </w:r>
      <w:r>
        <w:rPr>
          <w:rFonts w:ascii="calibri" w:hAnsi="calibri" w:eastAsia="calibri" w:cs="calibri"/>
          <w:sz w:val="24"/>
          <w:szCs w:val="24"/>
        </w:rPr>
        <w:t xml:space="preserve"> utrudniające zakup ochrony.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podobna prawidłowość może dotyczyć szeroko pojętych ubezpieczeń zdrowotnych, ale przydatna byłaby weryfikacja poprzez badania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multiagencji ubezpieczeniowej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Skorygowany wiekowo wskaźnik umieralności kobiet na nowotwory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krajach Europy wg. WHO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1649px; height:105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Rys. 1. Źródło: Global Cancer Observatory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https://stat.gov.pl/files/gfx/portalinformacyjny/pl/defaultaktualnosci/5470/2/19/1/trwanie_zycia_w_2024_roku.pdf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https://stat.gov.pl/files/gfx/portalinformacyjny/pl/defaultaktualnosci/5470/2/19/1/trwanie_zycia_w_2024_roku.pdf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https://gco.iarc.who.int/media/globocan/factsheets/populations/616-poland-fact-sheet.pdf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https://businessinsider.ocdn.eu/static/portretFinansowyPolakow2025.pdf</w:t>
        </w:r>
      </w:hyperlink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https://gco.iarc.fr/today/en/dataviz/maps-heatmap?mode=population&amp;types=1&amp;sexes=2&amp;zoom=5&amp;key=asr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nilink.biuroprasowe.pl/word/?hash=2b339c62b49671035085b9d901559034&amp;id=212056&amp;typ=epr#_ftn1" TargetMode="External"/><Relationship Id="rId8" Type="http://schemas.openxmlformats.org/officeDocument/2006/relationships/hyperlink" Target="http://unilink.biuroprasowe.pl/word/?hash=2b339c62b49671035085b9d901559034&amp;id=212056&amp;typ=epr#_ftn2" TargetMode="External"/><Relationship Id="rId9" Type="http://schemas.openxmlformats.org/officeDocument/2006/relationships/hyperlink" Target="http://unilink.biuroprasowe.pl/word/?hash=2b339c62b49671035085b9d901559034&amp;id=212056&amp;typ=epr#_ftn3" TargetMode="External"/><Relationship Id="rId10" Type="http://schemas.openxmlformats.org/officeDocument/2006/relationships/hyperlink" Target="http://unilink.biuroprasowe.pl/word/?hash=2b339c62b49671035085b9d901559034&amp;id=212056&amp;typ=epr#_ftn4" TargetMode="External"/><Relationship Id="rId11" Type="http://schemas.openxmlformats.org/officeDocument/2006/relationships/image" Target="media/section_image1.png"/><Relationship Id="rId12" Type="http://schemas.openxmlformats.org/officeDocument/2006/relationships/hyperlink" Target="http://unilink.biuroprasowe.pl/word/?hash=2b339c62b49671035085b9d901559034&amp;id=212056&amp;typ=epr#_ftn5" TargetMode="External"/><Relationship Id="rId13" Type="http://schemas.openxmlformats.org/officeDocument/2006/relationships/hyperlink" Target="http://unilink.biuroprasowe.pl/word/?hash=2b339c62b49671035085b9d901559034&amp;id=212056&amp;typ=epr#_ftnref1" TargetMode="External"/><Relationship Id="rId14" Type="http://schemas.openxmlformats.org/officeDocument/2006/relationships/hyperlink" Target="https://stat.gov.pl/files/gfx/portalinformacyjny/pl/defaultaktualnosci/5470/2/19/1/trwanie_zycia_w_2024_roku.pdf" TargetMode="External"/><Relationship Id="rId15" Type="http://schemas.openxmlformats.org/officeDocument/2006/relationships/hyperlink" Target="http://unilink.biuroprasowe.pl/word/?hash=2b339c62b49671035085b9d901559034&amp;id=212056&amp;typ=epr#_ftnref2" TargetMode="External"/><Relationship Id="rId16" Type="http://schemas.openxmlformats.org/officeDocument/2006/relationships/hyperlink" Target="http://unilink.biuroprasowe.pl/word/?hash=2b339c62b49671035085b9d901559034&amp;id=212056&amp;typ=epr#_ftnref3" TargetMode="External"/><Relationship Id="rId17" Type="http://schemas.openxmlformats.org/officeDocument/2006/relationships/hyperlink" Target="https://gco.iarc.who.int/media/globocan/factsheets/populations/616-poland-fact-sheet.pdf" TargetMode="External"/><Relationship Id="rId18" Type="http://schemas.openxmlformats.org/officeDocument/2006/relationships/hyperlink" Target="http://unilink.biuroprasowe.pl/word/?hash=2b339c62b49671035085b9d901559034&amp;id=212056&amp;typ=epr#_ftnref4" TargetMode="External"/><Relationship Id="rId19" Type="http://schemas.openxmlformats.org/officeDocument/2006/relationships/hyperlink" Target="https://businessinsider.ocdn.eu/static/portretFinansowyPolakow2025.pdf" TargetMode="External"/><Relationship Id="rId20" Type="http://schemas.openxmlformats.org/officeDocument/2006/relationships/hyperlink" Target="http://unilink.biuroprasowe.pl/word/?hash=2b339c62b49671035085b9d901559034&amp;id=212056&amp;typ=epr#_ftnref5" TargetMode="External"/><Relationship Id="rId21" Type="http://schemas.openxmlformats.org/officeDocument/2006/relationships/hyperlink" Target="https://gco.iarc.fr/today/en/dataviz/maps-heatmap?mode=population&amp;amp;amp;types=1&amp;amp;amp;sexes=2&amp;amp;amp;zoom=5&amp;amp;amp;key=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2026-02-02T03:38:42+01:00</dcterms:created>
  <dcterms:modified xsi:type="dcterms:W3CDTF">2026-02-02T03:38:42+01:00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